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1F86" w14:textId="77777777" w:rsidR="00FE067E" w:rsidRPr="00C226B4" w:rsidRDefault="003C6034" w:rsidP="00CC1F3B">
      <w:pPr>
        <w:pStyle w:val="TitlePageOrigin"/>
        <w:rPr>
          <w:color w:val="auto"/>
        </w:rPr>
      </w:pPr>
      <w:r w:rsidRPr="00C226B4">
        <w:rPr>
          <w:caps w:val="0"/>
          <w:color w:val="auto"/>
        </w:rPr>
        <w:t>WEST VIRGINIA LEGISLATURE</w:t>
      </w:r>
    </w:p>
    <w:p w14:paraId="59CA5961" w14:textId="77777777" w:rsidR="00CD36CF" w:rsidRPr="00C226B4" w:rsidRDefault="00CD36CF" w:rsidP="00CC1F3B">
      <w:pPr>
        <w:pStyle w:val="TitlePageSession"/>
        <w:rPr>
          <w:color w:val="auto"/>
        </w:rPr>
      </w:pPr>
      <w:r w:rsidRPr="00C226B4">
        <w:rPr>
          <w:color w:val="auto"/>
        </w:rPr>
        <w:t>20</w:t>
      </w:r>
      <w:r w:rsidR="00EC5E63" w:rsidRPr="00C226B4">
        <w:rPr>
          <w:color w:val="auto"/>
        </w:rPr>
        <w:t>2</w:t>
      </w:r>
      <w:r w:rsidR="00C62327" w:rsidRPr="00C226B4">
        <w:rPr>
          <w:color w:val="auto"/>
        </w:rPr>
        <w:t>4</w:t>
      </w:r>
      <w:r w:rsidRPr="00C226B4">
        <w:rPr>
          <w:color w:val="auto"/>
        </w:rPr>
        <w:t xml:space="preserve"> </w:t>
      </w:r>
      <w:r w:rsidR="003C6034" w:rsidRPr="00C226B4">
        <w:rPr>
          <w:caps w:val="0"/>
          <w:color w:val="auto"/>
        </w:rPr>
        <w:t>REGULAR SESSION</w:t>
      </w:r>
    </w:p>
    <w:p w14:paraId="42D3C843" w14:textId="77777777" w:rsidR="00CD36CF" w:rsidRPr="00C226B4" w:rsidRDefault="004F1580" w:rsidP="00CC1F3B">
      <w:pPr>
        <w:pStyle w:val="TitlePageBillPrefix"/>
        <w:rPr>
          <w:color w:val="auto"/>
        </w:rPr>
      </w:pPr>
      <w:sdt>
        <w:sdtPr>
          <w:rPr>
            <w:color w:val="auto"/>
          </w:rPr>
          <w:tag w:val="IntroDate"/>
          <w:id w:val="-1236936958"/>
          <w:placeholder>
            <w:docPart w:val="3239CC984B774143B4161626A0AE7943"/>
          </w:placeholder>
          <w:text/>
        </w:sdtPr>
        <w:sdtEndPr/>
        <w:sdtContent>
          <w:r w:rsidR="00AE48A0" w:rsidRPr="00C226B4">
            <w:rPr>
              <w:color w:val="auto"/>
            </w:rPr>
            <w:t>Introduced</w:t>
          </w:r>
        </w:sdtContent>
      </w:sdt>
    </w:p>
    <w:p w14:paraId="51B68D01" w14:textId="7452D0F4" w:rsidR="00CD36CF" w:rsidRPr="00C226B4" w:rsidRDefault="004F1580" w:rsidP="00CC1F3B">
      <w:pPr>
        <w:pStyle w:val="BillNumber"/>
        <w:rPr>
          <w:color w:val="auto"/>
        </w:rPr>
      </w:pPr>
      <w:sdt>
        <w:sdtPr>
          <w:rPr>
            <w:color w:val="auto"/>
          </w:rPr>
          <w:tag w:val="Chamber"/>
          <w:id w:val="893011969"/>
          <w:lock w:val="sdtLocked"/>
          <w:placeholder>
            <w:docPart w:val="EBF0E551DD31459DBE30EFF95F6E2EBC"/>
          </w:placeholder>
          <w:dropDownList>
            <w:listItem w:displayText="House" w:value="House"/>
            <w:listItem w:displayText="Senate" w:value="Senate"/>
          </w:dropDownList>
        </w:sdtPr>
        <w:sdtEndPr/>
        <w:sdtContent>
          <w:r w:rsidR="00C33434" w:rsidRPr="00C226B4">
            <w:rPr>
              <w:color w:val="auto"/>
            </w:rPr>
            <w:t>House</w:t>
          </w:r>
        </w:sdtContent>
      </w:sdt>
      <w:r w:rsidR="00303684" w:rsidRPr="00C226B4">
        <w:rPr>
          <w:color w:val="auto"/>
        </w:rPr>
        <w:t xml:space="preserve"> </w:t>
      </w:r>
      <w:r w:rsidR="00CD36CF" w:rsidRPr="00C226B4">
        <w:rPr>
          <w:color w:val="auto"/>
        </w:rPr>
        <w:t xml:space="preserve">Bill </w:t>
      </w:r>
      <w:sdt>
        <w:sdtPr>
          <w:rPr>
            <w:color w:val="auto"/>
          </w:rPr>
          <w:tag w:val="BNum"/>
          <w:id w:val="1645317809"/>
          <w:lock w:val="sdtLocked"/>
          <w:placeholder>
            <w:docPart w:val="02E777D37E7140AE99FEFC9356DF0784"/>
          </w:placeholder>
          <w:text/>
        </w:sdtPr>
        <w:sdtEndPr/>
        <w:sdtContent>
          <w:r>
            <w:rPr>
              <w:color w:val="auto"/>
            </w:rPr>
            <w:t>5539</w:t>
          </w:r>
        </w:sdtContent>
      </w:sdt>
    </w:p>
    <w:p w14:paraId="634C30F5" w14:textId="5F4DD574" w:rsidR="00CD36CF" w:rsidRPr="00C226B4" w:rsidRDefault="00CD36CF" w:rsidP="00CC1F3B">
      <w:pPr>
        <w:pStyle w:val="Sponsors"/>
        <w:rPr>
          <w:color w:val="auto"/>
        </w:rPr>
      </w:pPr>
      <w:r w:rsidRPr="00C226B4">
        <w:rPr>
          <w:color w:val="auto"/>
        </w:rPr>
        <w:t xml:space="preserve">By </w:t>
      </w:r>
      <w:sdt>
        <w:sdtPr>
          <w:rPr>
            <w:color w:val="auto"/>
          </w:rPr>
          <w:tag w:val="Sponsors"/>
          <w:id w:val="1589585889"/>
          <w:placeholder>
            <w:docPart w:val="31438DFBD39B45839F727823E20F2EF5"/>
          </w:placeholder>
          <w:text w:multiLine="1"/>
        </w:sdtPr>
        <w:sdtEndPr/>
        <w:sdtContent>
          <w:r w:rsidR="00311F64" w:rsidRPr="00C226B4">
            <w:rPr>
              <w:color w:val="auto"/>
            </w:rPr>
            <w:t>Delegate</w:t>
          </w:r>
          <w:r w:rsidR="006479C5">
            <w:rPr>
              <w:color w:val="auto"/>
            </w:rPr>
            <w:t>s</w:t>
          </w:r>
          <w:r w:rsidR="00311F64" w:rsidRPr="00C226B4">
            <w:rPr>
              <w:color w:val="auto"/>
            </w:rPr>
            <w:t xml:space="preserve"> C. Pritt</w:t>
          </w:r>
          <w:r w:rsidR="006479C5">
            <w:rPr>
              <w:color w:val="auto"/>
            </w:rPr>
            <w:t>, McGeehan, Longanacre, Akers, Steele, Fluharty, Kimble, Shamblin, Kirby, and Kump</w:t>
          </w:r>
        </w:sdtContent>
      </w:sdt>
    </w:p>
    <w:p w14:paraId="7CFF1FC9" w14:textId="7D04B42A" w:rsidR="00E831B3" w:rsidRPr="00C226B4" w:rsidRDefault="00CD36CF" w:rsidP="00CC1F3B">
      <w:pPr>
        <w:pStyle w:val="References"/>
        <w:rPr>
          <w:color w:val="auto"/>
        </w:rPr>
      </w:pPr>
      <w:r w:rsidRPr="00C226B4">
        <w:rPr>
          <w:color w:val="auto"/>
        </w:rPr>
        <w:t>[</w:t>
      </w:r>
      <w:sdt>
        <w:sdtPr>
          <w:rPr>
            <w:color w:val="auto"/>
          </w:rPr>
          <w:tag w:val="References"/>
          <w:id w:val="-1043047873"/>
          <w:placeholder>
            <w:docPart w:val="33750F4AADD347408C876626E5CBB5BA"/>
          </w:placeholder>
          <w:text w:multiLine="1"/>
        </w:sdtPr>
        <w:sdtEndPr/>
        <w:sdtContent>
          <w:r w:rsidR="004F1580">
            <w:rPr>
              <w:color w:val="auto"/>
            </w:rPr>
            <w:t>Introduced February 09, 2024; Referred to the Committee on the Judiciary</w:t>
          </w:r>
        </w:sdtContent>
      </w:sdt>
      <w:r w:rsidRPr="00C226B4">
        <w:rPr>
          <w:color w:val="auto"/>
        </w:rPr>
        <w:t>]</w:t>
      </w:r>
    </w:p>
    <w:p w14:paraId="76AAF4FC" w14:textId="524DAC5E" w:rsidR="001C51C3" w:rsidRPr="00C226B4" w:rsidRDefault="001C51C3" w:rsidP="001C51C3">
      <w:pPr>
        <w:pStyle w:val="TitleSection"/>
        <w:rPr>
          <w:color w:val="auto"/>
        </w:rPr>
      </w:pPr>
      <w:r w:rsidRPr="00C226B4">
        <w:rPr>
          <w:color w:val="auto"/>
        </w:rPr>
        <w:lastRenderedPageBreak/>
        <w:t xml:space="preserve">A BILL to amend and reenact §55-7-8a of the Code of West Virginia, 1931, as amended, all relating to actions which survive; limitations; law governing such actions and </w:t>
      </w:r>
      <w:bookmarkStart w:id="0" w:name="_Hlk158131957"/>
      <w:r w:rsidRPr="00C226B4">
        <w:rPr>
          <w:color w:val="auto"/>
        </w:rPr>
        <w:t>providing that causes of action under Chapter 46A of the Code of Wes Virginia shall survive the death of the party.</w:t>
      </w:r>
    </w:p>
    <w:bookmarkEnd w:id="0"/>
    <w:p w14:paraId="7E6C8362" w14:textId="77777777" w:rsidR="00303684" w:rsidRPr="00C226B4" w:rsidRDefault="00303684" w:rsidP="00CC1F3B">
      <w:pPr>
        <w:pStyle w:val="EnactingClause"/>
        <w:rPr>
          <w:color w:val="auto"/>
        </w:rPr>
      </w:pPr>
      <w:r w:rsidRPr="00C226B4">
        <w:rPr>
          <w:color w:val="auto"/>
        </w:rPr>
        <w:t>Be it enacted by the Legislature of West Virginia:</w:t>
      </w:r>
    </w:p>
    <w:p w14:paraId="23F9436F" w14:textId="77777777" w:rsidR="003C6034" w:rsidRPr="00C226B4" w:rsidRDefault="003C6034" w:rsidP="00CC1F3B">
      <w:pPr>
        <w:pStyle w:val="EnactingClause"/>
        <w:rPr>
          <w:color w:val="auto"/>
        </w:rPr>
        <w:sectPr w:rsidR="003C6034" w:rsidRPr="00C226B4" w:rsidSect="001C51C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3ADA307" w14:textId="77777777" w:rsidR="001C51C3" w:rsidRPr="00C226B4" w:rsidRDefault="001C51C3" w:rsidP="006A6159">
      <w:pPr>
        <w:pStyle w:val="ArticleHeading"/>
        <w:rPr>
          <w:color w:val="auto"/>
        </w:rPr>
        <w:sectPr w:rsidR="001C51C3" w:rsidRPr="00C226B4" w:rsidSect="000B43D3">
          <w:type w:val="continuous"/>
          <w:pgSz w:w="12240" w:h="15840" w:code="1"/>
          <w:pgMar w:top="1440" w:right="1440" w:bottom="1440" w:left="1440" w:header="720" w:footer="720" w:gutter="0"/>
          <w:lnNumType w:countBy="1" w:restart="newSection"/>
          <w:cols w:space="720"/>
          <w:titlePg/>
          <w:docGrid w:linePitch="360"/>
        </w:sectPr>
      </w:pPr>
      <w:r w:rsidRPr="00C226B4">
        <w:rPr>
          <w:color w:val="auto"/>
        </w:rPr>
        <w:t>ARTICLE 7. ACTIONS FOR INJURIES.</w:t>
      </w:r>
    </w:p>
    <w:p w14:paraId="4EEC2119" w14:textId="77777777" w:rsidR="001C51C3" w:rsidRPr="00C226B4" w:rsidRDefault="001C51C3" w:rsidP="005E5036">
      <w:pPr>
        <w:pStyle w:val="SectionHeading"/>
        <w:rPr>
          <w:color w:val="auto"/>
        </w:rPr>
      </w:pPr>
      <w:r w:rsidRPr="00C226B4">
        <w:rPr>
          <w:color w:val="auto"/>
        </w:rPr>
        <w:t>§55-7-8a. Actions which survive; limitations; law governing such actions.</w:t>
      </w:r>
    </w:p>
    <w:p w14:paraId="53BEAD13" w14:textId="35257838" w:rsidR="001C51C3" w:rsidRPr="00C226B4" w:rsidRDefault="001C51C3" w:rsidP="005E5036">
      <w:pPr>
        <w:pStyle w:val="SectionBody"/>
        <w:rPr>
          <w:color w:val="auto"/>
        </w:rPr>
      </w:pPr>
      <w:r w:rsidRPr="00C226B4">
        <w:rPr>
          <w:color w:val="auto"/>
        </w:rPr>
        <w:t xml:space="preserve">(a) In addition to the causes of action which survive at common law, causes of action for injuries to property, real or personal, or injuries to the person and not resulting in death, or for deceit or fraud, </w:t>
      </w:r>
      <w:r w:rsidR="00EB2D33" w:rsidRPr="00C226B4">
        <w:rPr>
          <w:color w:val="auto"/>
          <w:u w:val="single"/>
        </w:rPr>
        <w:t>or any violations of Chapter 46A of this Code,</w:t>
      </w:r>
      <w:r w:rsidR="00EB2D33" w:rsidRPr="00C226B4">
        <w:rPr>
          <w:color w:val="auto"/>
        </w:rPr>
        <w:t xml:space="preserve"> </w:t>
      </w:r>
      <w:r w:rsidRPr="00C226B4">
        <w:rPr>
          <w:color w:val="auto"/>
        </w:rPr>
        <w:t>also shall survive; and such actions may be brought notwithstanding the death of the person entitled to recover or the death of the person liable.</w:t>
      </w:r>
    </w:p>
    <w:p w14:paraId="55028872" w14:textId="1FE080E5" w:rsidR="001C51C3" w:rsidRPr="00C226B4" w:rsidRDefault="001C51C3" w:rsidP="005E5036">
      <w:pPr>
        <w:pStyle w:val="SectionBody"/>
        <w:rPr>
          <w:color w:val="auto"/>
        </w:rPr>
      </w:pPr>
      <w:r w:rsidRPr="00C226B4">
        <w:rPr>
          <w:color w:val="auto"/>
        </w:rPr>
        <w:t xml:space="preserve">(b) If any such action is begun during the lifetime of the injured party, and within the period of time permissible under the applicable statute of limitations as provided by </w:t>
      </w:r>
      <w:bookmarkStart w:id="1" w:name="_Hlk158131644"/>
      <w:bookmarkStart w:id="2" w:name="_Hlk158131902"/>
      <w:r w:rsidR="00EB2D33" w:rsidRPr="00C226B4">
        <w:rPr>
          <w:color w:val="auto"/>
        </w:rPr>
        <w:t xml:space="preserve">§55-2-1 </w:t>
      </w:r>
      <w:r w:rsidR="00EB2D33" w:rsidRPr="00C226B4">
        <w:rPr>
          <w:i/>
          <w:iCs/>
          <w:color w:val="auto"/>
        </w:rPr>
        <w:t xml:space="preserve">et seq. </w:t>
      </w:r>
      <w:bookmarkEnd w:id="1"/>
      <w:r w:rsidRPr="00C226B4">
        <w:rPr>
          <w:color w:val="auto"/>
        </w:rPr>
        <w:t xml:space="preserve">and </w:t>
      </w:r>
      <w:r w:rsidR="00EB2D33" w:rsidRPr="00C226B4">
        <w:rPr>
          <w:color w:val="auto"/>
        </w:rPr>
        <w:t xml:space="preserve">§55-2A-1 </w:t>
      </w:r>
      <w:r w:rsidR="00EB2D33" w:rsidRPr="00C226B4">
        <w:rPr>
          <w:i/>
          <w:iCs/>
          <w:color w:val="auto"/>
        </w:rPr>
        <w:t xml:space="preserve">et seq. </w:t>
      </w:r>
      <w:r w:rsidRPr="00C226B4">
        <w:rPr>
          <w:color w:val="auto"/>
        </w:rPr>
        <w:t xml:space="preserve">of this </w:t>
      </w:r>
      <w:r w:rsidR="00EB2D33" w:rsidRPr="00C226B4">
        <w:rPr>
          <w:color w:val="auto"/>
        </w:rPr>
        <w:t>code</w:t>
      </w:r>
      <w:bookmarkEnd w:id="2"/>
      <w:r w:rsidRPr="00C226B4">
        <w:rPr>
          <w:color w:val="auto"/>
        </w:rPr>
        <w:t xml:space="preserve">, (either against the wrongdoer or his </w:t>
      </w:r>
      <w:r w:rsidRPr="00C226B4">
        <w:rPr>
          <w:color w:val="auto"/>
          <w:u w:val="single"/>
        </w:rPr>
        <w:t>or her</w:t>
      </w:r>
      <w:r w:rsidRPr="00C226B4">
        <w:rPr>
          <w:color w:val="auto"/>
        </w:rPr>
        <w:t xml:space="preserve"> personal representative), and </w:t>
      </w:r>
      <w:r w:rsidR="00EB2D33" w:rsidRPr="00C226B4">
        <w:rPr>
          <w:color w:val="auto"/>
        </w:rPr>
        <w:t>s</w:t>
      </w:r>
      <w:r w:rsidRPr="00C226B4">
        <w:rPr>
          <w:color w:val="auto"/>
        </w:rPr>
        <w:t xml:space="preserve">uch injured party dies pending the action it may be revived in favor of the personal representative of such injured party and prosecuted to judgment and execution against the wrongdoer or his </w:t>
      </w:r>
      <w:r w:rsidRPr="00C226B4">
        <w:rPr>
          <w:color w:val="auto"/>
          <w:u w:val="single"/>
        </w:rPr>
        <w:t>or her</w:t>
      </w:r>
      <w:r w:rsidRPr="00C226B4">
        <w:rPr>
          <w:color w:val="auto"/>
        </w:rPr>
        <w:t xml:space="preserve"> personal representative.</w:t>
      </w:r>
    </w:p>
    <w:p w14:paraId="5D394F62" w14:textId="59795C9C" w:rsidR="001C51C3" w:rsidRPr="00C226B4" w:rsidRDefault="001C51C3" w:rsidP="005E5036">
      <w:pPr>
        <w:pStyle w:val="SectionBody"/>
        <w:rPr>
          <w:color w:val="auto"/>
        </w:rPr>
      </w:pPr>
      <w:r w:rsidRPr="00C226B4">
        <w:rPr>
          <w:color w:val="auto"/>
        </w:rPr>
        <w:t xml:space="preserve">(c) If the injured party dies before having begun any such action and it is not at the time of his </w:t>
      </w:r>
      <w:r w:rsidRPr="00C226B4">
        <w:rPr>
          <w:color w:val="auto"/>
          <w:u w:val="single"/>
        </w:rPr>
        <w:t>or her</w:t>
      </w:r>
      <w:r w:rsidRPr="00C226B4">
        <w:rPr>
          <w:color w:val="auto"/>
        </w:rPr>
        <w:t xml:space="preserve"> death barred by the applicable statute of limitations under the provisions of </w:t>
      </w:r>
      <w:r w:rsidR="00EB2D33" w:rsidRPr="00C226B4">
        <w:rPr>
          <w:color w:val="auto"/>
        </w:rPr>
        <w:t xml:space="preserve">§55-2-1 </w:t>
      </w:r>
      <w:r w:rsidR="00EB2D33" w:rsidRPr="00C226B4">
        <w:rPr>
          <w:i/>
          <w:iCs/>
          <w:color w:val="auto"/>
        </w:rPr>
        <w:t xml:space="preserve">et seq. </w:t>
      </w:r>
      <w:r w:rsidR="00EB2D33" w:rsidRPr="00C226B4">
        <w:rPr>
          <w:color w:val="auto"/>
        </w:rPr>
        <w:t xml:space="preserve">and §55-2A-1 </w:t>
      </w:r>
      <w:r w:rsidR="00EB2D33" w:rsidRPr="00C226B4">
        <w:rPr>
          <w:i/>
          <w:iCs/>
          <w:color w:val="auto"/>
        </w:rPr>
        <w:t xml:space="preserve">et seq. </w:t>
      </w:r>
      <w:r w:rsidR="00EB2D33" w:rsidRPr="00C226B4">
        <w:rPr>
          <w:color w:val="auto"/>
        </w:rPr>
        <w:t xml:space="preserve">of this code </w:t>
      </w:r>
      <w:r w:rsidRPr="00C226B4">
        <w:rPr>
          <w:color w:val="auto"/>
        </w:rPr>
        <w:t xml:space="preserve">such action may be begun by the personal representative of the injured party against the wrongdoer or his </w:t>
      </w:r>
      <w:r w:rsidRPr="00C226B4">
        <w:rPr>
          <w:color w:val="auto"/>
          <w:u w:val="single"/>
        </w:rPr>
        <w:t>or her</w:t>
      </w:r>
      <w:r w:rsidRPr="00C226B4">
        <w:rPr>
          <w:color w:val="auto"/>
        </w:rPr>
        <w:t xml:space="preserve"> personal representative and prosecuted to judgment and execution against the wrongdoer or his </w:t>
      </w:r>
      <w:r w:rsidRPr="00C226B4">
        <w:rPr>
          <w:color w:val="auto"/>
          <w:u w:val="single"/>
        </w:rPr>
        <w:t>or her</w:t>
      </w:r>
      <w:r w:rsidRPr="00C226B4">
        <w:rPr>
          <w:color w:val="auto"/>
        </w:rPr>
        <w:t xml:space="preserve"> personal representative. Any such action shall be instituted within the same period of time that would have been applicable had the injured party not died.</w:t>
      </w:r>
    </w:p>
    <w:p w14:paraId="7AA757DC" w14:textId="77777777" w:rsidR="001C51C3" w:rsidRPr="00C226B4" w:rsidRDefault="001C51C3" w:rsidP="005E5036">
      <w:pPr>
        <w:pStyle w:val="SectionBody"/>
        <w:rPr>
          <w:color w:val="auto"/>
        </w:rPr>
      </w:pPr>
      <w:r w:rsidRPr="00C226B4">
        <w:rPr>
          <w:color w:val="auto"/>
        </w:rPr>
        <w:t>(d) If any such action mentioned in the preceding subsections (a), (b) and/or (c) shall have been begun against the wrongdoer and he or she dies during the pendency thereof, it may be revived against the personal representative of the wrongdoer and prosecuted to judgment and execution.</w:t>
      </w:r>
    </w:p>
    <w:p w14:paraId="00E29D65" w14:textId="533DF429" w:rsidR="001C51C3" w:rsidRPr="00C226B4" w:rsidRDefault="001C51C3" w:rsidP="005E5036">
      <w:pPr>
        <w:pStyle w:val="SectionBody"/>
        <w:rPr>
          <w:color w:val="auto"/>
        </w:rPr>
      </w:pPr>
      <w:r w:rsidRPr="00C226B4">
        <w:rPr>
          <w:color w:val="auto"/>
        </w:rPr>
        <w:t xml:space="preserve">(e) The applicable provisions of </w:t>
      </w:r>
      <w:r w:rsidR="009C39FA" w:rsidRPr="00C226B4">
        <w:rPr>
          <w:color w:val="auto"/>
        </w:rPr>
        <w:t xml:space="preserve">§56-8-1 </w:t>
      </w:r>
      <w:r w:rsidR="009C39FA" w:rsidRPr="00C226B4">
        <w:rPr>
          <w:i/>
          <w:iCs/>
          <w:color w:val="auto"/>
        </w:rPr>
        <w:t>et seq.</w:t>
      </w:r>
      <w:r w:rsidRPr="00C226B4">
        <w:rPr>
          <w:color w:val="auto"/>
        </w:rPr>
        <w:t xml:space="preserve"> of this code shall govern the actions hereinabove mentioned, with reference to their abatement, revival, discontinuance, reinstatement and substitution of parties.</w:t>
      </w:r>
    </w:p>
    <w:p w14:paraId="778C4CE6" w14:textId="755263BF" w:rsidR="001C51C3" w:rsidRPr="00C226B4" w:rsidRDefault="001C51C3" w:rsidP="00CC1F3B">
      <w:pPr>
        <w:pStyle w:val="SectionBody"/>
        <w:rPr>
          <w:color w:val="auto"/>
        </w:rPr>
      </w:pPr>
      <w:r w:rsidRPr="00C226B4">
        <w:rPr>
          <w:color w:val="auto"/>
        </w:rPr>
        <w:t>(f) Nothing contained in this section shall be construed to extend the time within which an action for any other tort shall be brought, nor to give the right to assign a claim for a tort not otherwise assignable.</w:t>
      </w:r>
    </w:p>
    <w:p w14:paraId="152A5D48" w14:textId="77777777" w:rsidR="00C33014" w:rsidRPr="00C226B4" w:rsidRDefault="00C33014" w:rsidP="00CC1F3B">
      <w:pPr>
        <w:pStyle w:val="Note"/>
        <w:rPr>
          <w:color w:val="auto"/>
        </w:rPr>
      </w:pPr>
    </w:p>
    <w:p w14:paraId="77A4A0E8" w14:textId="50E77907" w:rsidR="00EB2D33" w:rsidRPr="00C226B4" w:rsidRDefault="00CF1DCA" w:rsidP="00EB2D33">
      <w:pPr>
        <w:pStyle w:val="Note"/>
        <w:rPr>
          <w:color w:val="auto"/>
        </w:rPr>
      </w:pPr>
      <w:r w:rsidRPr="00C226B4">
        <w:rPr>
          <w:color w:val="auto"/>
        </w:rPr>
        <w:t>NOTE: The</w:t>
      </w:r>
      <w:r w:rsidR="006865E9" w:rsidRPr="00C226B4">
        <w:rPr>
          <w:color w:val="auto"/>
        </w:rPr>
        <w:t xml:space="preserve"> purpose of this bill is to </w:t>
      </w:r>
      <w:r w:rsidR="00EB2D33" w:rsidRPr="00C226B4">
        <w:rPr>
          <w:color w:val="auto"/>
        </w:rPr>
        <w:t>provide that causes of action under Chapter 46A of the Code of Wes</w:t>
      </w:r>
      <w:r w:rsidR="001029B4" w:rsidRPr="00C226B4">
        <w:rPr>
          <w:color w:val="auto"/>
        </w:rPr>
        <w:t>t</w:t>
      </w:r>
      <w:r w:rsidR="00EB2D33" w:rsidRPr="00C226B4">
        <w:rPr>
          <w:color w:val="auto"/>
        </w:rPr>
        <w:t xml:space="preserve"> Virginia shall survive the death of the party.</w:t>
      </w:r>
    </w:p>
    <w:p w14:paraId="3766C3AE" w14:textId="77777777" w:rsidR="006865E9" w:rsidRPr="00C226B4" w:rsidRDefault="00AE48A0" w:rsidP="00CC1F3B">
      <w:pPr>
        <w:pStyle w:val="Note"/>
        <w:rPr>
          <w:color w:val="auto"/>
        </w:rPr>
      </w:pPr>
      <w:r w:rsidRPr="00C226B4">
        <w:rPr>
          <w:color w:val="auto"/>
        </w:rPr>
        <w:t>Strike-throughs indicate language that would be stricken from a heading or the present law and underscoring indicates new language that would be added.</w:t>
      </w:r>
    </w:p>
    <w:sectPr w:rsidR="006865E9" w:rsidRPr="00C226B4" w:rsidSect="001C51C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DE540" w14:textId="77777777" w:rsidR="001C51C3" w:rsidRPr="00B844FE" w:rsidRDefault="001C51C3" w:rsidP="00B844FE">
      <w:r>
        <w:separator/>
      </w:r>
    </w:p>
  </w:endnote>
  <w:endnote w:type="continuationSeparator" w:id="0">
    <w:p w14:paraId="76484E98" w14:textId="77777777" w:rsidR="001C51C3" w:rsidRPr="00B844FE" w:rsidRDefault="001C51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4AE3F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18D2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336E37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B5A9" w14:textId="77777777" w:rsidR="001C51C3" w:rsidRPr="00B844FE" w:rsidRDefault="001C51C3" w:rsidP="00B844FE">
      <w:r>
        <w:separator/>
      </w:r>
    </w:p>
  </w:footnote>
  <w:footnote w:type="continuationSeparator" w:id="0">
    <w:p w14:paraId="63A4A939" w14:textId="77777777" w:rsidR="001C51C3" w:rsidRPr="00B844FE" w:rsidRDefault="001C51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0FAC" w14:textId="77777777" w:rsidR="002A0269" w:rsidRPr="00B844FE" w:rsidRDefault="004F1580">
    <w:pPr>
      <w:pStyle w:val="Header"/>
    </w:pPr>
    <w:sdt>
      <w:sdtPr>
        <w:id w:val="-684364211"/>
        <w:placeholder>
          <w:docPart w:val="EBF0E551DD31459DBE30EFF95F6E2EB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BF0E551DD31459DBE30EFF95F6E2EB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CFAF" w14:textId="611D133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1C51C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C51C3">
          <w:rPr>
            <w:sz w:val="22"/>
            <w:szCs w:val="22"/>
          </w:rPr>
          <w:t>2024R3727</w:t>
        </w:r>
      </w:sdtContent>
    </w:sdt>
  </w:p>
  <w:p w14:paraId="6F2613D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F9E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C3"/>
    <w:rsid w:val="0000526A"/>
    <w:rsid w:val="000573A9"/>
    <w:rsid w:val="00085D22"/>
    <w:rsid w:val="00093AB0"/>
    <w:rsid w:val="000C5C77"/>
    <w:rsid w:val="000E3912"/>
    <w:rsid w:val="0010070F"/>
    <w:rsid w:val="001029B4"/>
    <w:rsid w:val="0015112E"/>
    <w:rsid w:val="001552E7"/>
    <w:rsid w:val="001566B4"/>
    <w:rsid w:val="001A66B7"/>
    <w:rsid w:val="001C279E"/>
    <w:rsid w:val="001C51C3"/>
    <w:rsid w:val="001D459E"/>
    <w:rsid w:val="0022348D"/>
    <w:rsid w:val="0027011C"/>
    <w:rsid w:val="00274200"/>
    <w:rsid w:val="00275740"/>
    <w:rsid w:val="002A0269"/>
    <w:rsid w:val="00303684"/>
    <w:rsid w:val="00311F64"/>
    <w:rsid w:val="003143F5"/>
    <w:rsid w:val="00314854"/>
    <w:rsid w:val="00394191"/>
    <w:rsid w:val="003C51CD"/>
    <w:rsid w:val="003C6034"/>
    <w:rsid w:val="003F41BC"/>
    <w:rsid w:val="00400B5C"/>
    <w:rsid w:val="004368E0"/>
    <w:rsid w:val="004C13DD"/>
    <w:rsid w:val="004D3ABE"/>
    <w:rsid w:val="004E3441"/>
    <w:rsid w:val="004F1580"/>
    <w:rsid w:val="00500579"/>
    <w:rsid w:val="005A5366"/>
    <w:rsid w:val="006369EB"/>
    <w:rsid w:val="00637E73"/>
    <w:rsid w:val="006479C5"/>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C39FA"/>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226B4"/>
    <w:rsid w:val="00C33014"/>
    <w:rsid w:val="00C33434"/>
    <w:rsid w:val="00C34869"/>
    <w:rsid w:val="00C42EB6"/>
    <w:rsid w:val="00C62327"/>
    <w:rsid w:val="00C85096"/>
    <w:rsid w:val="00CB20EF"/>
    <w:rsid w:val="00CC1F3B"/>
    <w:rsid w:val="00CD12CB"/>
    <w:rsid w:val="00CD36CF"/>
    <w:rsid w:val="00CF1DCA"/>
    <w:rsid w:val="00D579FC"/>
    <w:rsid w:val="00D7584F"/>
    <w:rsid w:val="00D81C16"/>
    <w:rsid w:val="00DC0F75"/>
    <w:rsid w:val="00DE526B"/>
    <w:rsid w:val="00DF199D"/>
    <w:rsid w:val="00E01542"/>
    <w:rsid w:val="00E365F1"/>
    <w:rsid w:val="00E62F48"/>
    <w:rsid w:val="00E831B3"/>
    <w:rsid w:val="00E95FBC"/>
    <w:rsid w:val="00EB2D33"/>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E1FD"/>
  <w15:chartTrackingRefBased/>
  <w15:docId w15:val="{27375F85-A8A7-4E9A-BDD2-43F9907C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C51C3"/>
    <w:rPr>
      <w:rFonts w:eastAsia="Calibri"/>
      <w:b/>
      <w:caps/>
      <w:color w:val="000000"/>
      <w:sz w:val="24"/>
    </w:rPr>
  </w:style>
  <w:style w:type="character" w:customStyle="1" w:styleId="SectionBodyChar">
    <w:name w:val="Section Body Char"/>
    <w:link w:val="SectionBody"/>
    <w:rsid w:val="001C51C3"/>
    <w:rPr>
      <w:rFonts w:eastAsia="Calibri"/>
      <w:color w:val="000000"/>
    </w:rPr>
  </w:style>
  <w:style w:type="character" w:customStyle="1" w:styleId="SectionHeadingChar">
    <w:name w:val="Section Heading Char"/>
    <w:link w:val="SectionHeading"/>
    <w:rsid w:val="001C51C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39CC984B774143B4161626A0AE7943"/>
        <w:category>
          <w:name w:val="General"/>
          <w:gallery w:val="placeholder"/>
        </w:category>
        <w:types>
          <w:type w:val="bbPlcHdr"/>
        </w:types>
        <w:behaviors>
          <w:behavior w:val="content"/>
        </w:behaviors>
        <w:guid w:val="{7C5BB1F8-FC3E-4E1E-AB89-08851176BE1C}"/>
      </w:docPartPr>
      <w:docPartBody>
        <w:p w:rsidR="009D28FC" w:rsidRDefault="009D28FC">
          <w:pPr>
            <w:pStyle w:val="3239CC984B774143B4161626A0AE7943"/>
          </w:pPr>
          <w:r w:rsidRPr="00B844FE">
            <w:t>Prefix Text</w:t>
          </w:r>
        </w:p>
      </w:docPartBody>
    </w:docPart>
    <w:docPart>
      <w:docPartPr>
        <w:name w:val="EBF0E551DD31459DBE30EFF95F6E2EBC"/>
        <w:category>
          <w:name w:val="General"/>
          <w:gallery w:val="placeholder"/>
        </w:category>
        <w:types>
          <w:type w:val="bbPlcHdr"/>
        </w:types>
        <w:behaviors>
          <w:behavior w:val="content"/>
        </w:behaviors>
        <w:guid w:val="{8AA8C527-2707-404D-9AC0-35B11E1DFF98}"/>
      </w:docPartPr>
      <w:docPartBody>
        <w:p w:rsidR="009D28FC" w:rsidRDefault="009D28FC">
          <w:pPr>
            <w:pStyle w:val="EBF0E551DD31459DBE30EFF95F6E2EBC"/>
          </w:pPr>
          <w:r w:rsidRPr="00B844FE">
            <w:t>[Type here]</w:t>
          </w:r>
        </w:p>
      </w:docPartBody>
    </w:docPart>
    <w:docPart>
      <w:docPartPr>
        <w:name w:val="02E777D37E7140AE99FEFC9356DF0784"/>
        <w:category>
          <w:name w:val="General"/>
          <w:gallery w:val="placeholder"/>
        </w:category>
        <w:types>
          <w:type w:val="bbPlcHdr"/>
        </w:types>
        <w:behaviors>
          <w:behavior w:val="content"/>
        </w:behaviors>
        <w:guid w:val="{1C9EB695-2738-45CD-BB9C-441A4A6F5733}"/>
      </w:docPartPr>
      <w:docPartBody>
        <w:p w:rsidR="009D28FC" w:rsidRDefault="009D28FC">
          <w:pPr>
            <w:pStyle w:val="02E777D37E7140AE99FEFC9356DF0784"/>
          </w:pPr>
          <w:r w:rsidRPr="00B844FE">
            <w:t>Number</w:t>
          </w:r>
        </w:p>
      </w:docPartBody>
    </w:docPart>
    <w:docPart>
      <w:docPartPr>
        <w:name w:val="31438DFBD39B45839F727823E20F2EF5"/>
        <w:category>
          <w:name w:val="General"/>
          <w:gallery w:val="placeholder"/>
        </w:category>
        <w:types>
          <w:type w:val="bbPlcHdr"/>
        </w:types>
        <w:behaviors>
          <w:behavior w:val="content"/>
        </w:behaviors>
        <w:guid w:val="{6D696CF0-4565-4A0A-9F07-67885A2EBD4E}"/>
      </w:docPartPr>
      <w:docPartBody>
        <w:p w:rsidR="009D28FC" w:rsidRDefault="009D28FC">
          <w:pPr>
            <w:pStyle w:val="31438DFBD39B45839F727823E20F2EF5"/>
          </w:pPr>
          <w:r w:rsidRPr="00B844FE">
            <w:t>Enter Sponsors Here</w:t>
          </w:r>
        </w:p>
      </w:docPartBody>
    </w:docPart>
    <w:docPart>
      <w:docPartPr>
        <w:name w:val="33750F4AADD347408C876626E5CBB5BA"/>
        <w:category>
          <w:name w:val="General"/>
          <w:gallery w:val="placeholder"/>
        </w:category>
        <w:types>
          <w:type w:val="bbPlcHdr"/>
        </w:types>
        <w:behaviors>
          <w:behavior w:val="content"/>
        </w:behaviors>
        <w:guid w:val="{A8DF1BFC-1336-4A3F-88B5-69C68599A849}"/>
      </w:docPartPr>
      <w:docPartBody>
        <w:p w:rsidR="009D28FC" w:rsidRDefault="009D28FC">
          <w:pPr>
            <w:pStyle w:val="33750F4AADD347408C876626E5CBB5B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FC"/>
    <w:rsid w:val="009D2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39CC984B774143B4161626A0AE7943">
    <w:name w:val="3239CC984B774143B4161626A0AE7943"/>
  </w:style>
  <w:style w:type="paragraph" w:customStyle="1" w:styleId="EBF0E551DD31459DBE30EFF95F6E2EBC">
    <w:name w:val="EBF0E551DD31459DBE30EFF95F6E2EBC"/>
  </w:style>
  <w:style w:type="paragraph" w:customStyle="1" w:styleId="02E777D37E7140AE99FEFC9356DF0784">
    <w:name w:val="02E777D37E7140AE99FEFC9356DF0784"/>
  </w:style>
  <w:style w:type="paragraph" w:customStyle="1" w:styleId="31438DFBD39B45839F727823E20F2EF5">
    <w:name w:val="31438DFBD39B45839F727823E20F2EF5"/>
  </w:style>
  <w:style w:type="character" w:styleId="PlaceholderText">
    <w:name w:val="Placeholder Text"/>
    <w:basedOn w:val="DefaultParagraphFont"/>
    <w:uiPriority w:val="99"/>
    <w:semiHidden/>
    <w:rPr>
      <w:color w:val="808080"/>
    </w:rPr>
  </w:style>
  <w:style w:type="paragraph" w:customStyle="1" w:styleId="33750F4AADD347408C876626E5CBB5BA">
    <w:name w:val="33750F4AADD347408C876626E5CBB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485</Words>
  <Characters>2770</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7. ACTIONS FOR INJURIES.</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2024-02-09T14:20:00Z</dcterms:created>
  <dcterms:modified xsi:type="dcterms:W3CDTF">2024-02-09T14:20:00Z</dcterms:modified>
</cp:coreProperties>
</file>